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4017" w14:textId="2CE69671" w:rsidR="0077582C" w:rsidRDefault="001703C4" w:rsidP="00EC3E19">
      <w:pPr>
        <w:pStyle w:val="Default"/>
      </w:pPr>
      <w:r>
        <w:rPr>
          <w:b/>
          <w:sz w:val="28"/>
        </w:rPr>
        <w:t>A</w:t>
      </w:r>
      <w:r w:rsidR="000E2C76">
        <w:rPr>
          <w:b/>
          <w:sz w:val="28"/>
        </w:rPr>
        <w:t xml:space="preserve">nhörung </w:t>
      </w:r>
      <w:r w:rsidR="00EC3E19" w:rsidRPr="00022EA8">
        <w:rPr>
          <w:b/>
          <w:sz w:val="28"/>
        </w:rPr>
        <w:t xml:space="preserve">zum Entwurf eines Gesetzes </w:t>
      </w:r>
      <w:r w:rsidR="00EC3E19" w:rsidRPr="00EC3E19">
        <w:rPr>
          <w:b/>
          <w:sz w:val="28"/>
        </w:rPr>
        <w:t xml:space="preserve">zur </w:t>
      </w:r>
      <w:r w:rsidR="00687A48">
        <w:rPr>
          <w:b/>
          <w:sz w:val="28"/>
        </w:rPr>
        <w:t>Änderung</w:t>
      </w:r>
      <w:r w:rsidR="00EC3E19" w:rsidRPr="00EC3E19">
        <w:rPr>
          <w:b/>
          <w:sz w:val="28"/>
        </w:rPr>
        <w:t xml:space="preserve"> der Hessischen Bauordnung </w:t>
      </w:r>
      <w:r w:rsidR="0077582C">
        <w:rPr>
          <w:b/>
          <w:sz w:val="28"/>
        </w:rPr>
        <w:t xml:space="preserve">– </w:t>
      </w:r>
      <w:proofErr w:type="spellStart"/>
      <w:r w:rsidR="0077582C">
        <w:rPr>
          <w:b/>
          <w:sz w:val="28"/>
        </w:rPr>
        <w:t>Baupaket</w:t>
      </w:r>
      <w:proofErr w:type="spellEnd"/>
      <w:r w:rsidR="0077582C">
        <w:rPr>
          <w:b/>
          <w:sz w:val="28"/>
        </w:rPr>
        <w:t xml:space="preserve"> I</w:t>
      </w:r>
      <w:r w:rsidR="008A6977">
        <w:rPr>
          <w:b/>
          <w:sz w:val="28"/>
        </w:rPr>
        <w:t>I</w:t>
      </w:r>
      <w:r w:rsidR="0077582C">
        <w:rPr>
          <w:b/>
          <w:sz w:val="28"/>
        </w:rPr>
        <w:t xml:space="preserve"> –</w:t>
      </w:r>
    </w:p>
    <w:p w14:paraId="5B2D8796" w14:textId="34E0BE05" w:rsidR="00EC3E19" w:rsidRPr="00022EA8" w:rsidRDefault="0077582C" w:rsidP="00EC3E19">
      <w:pPr>
        <w:rPr>
          <w:b/>
          <w:sz w:val="28"/>
        </w:rPr>
      </w:pPr>
      <w:r>
        <w:rPr>
          <w:b/>
          <w:bCs/>
          <w:sz w:val="28"/>
          <w:szCs w:val="28"/>
        </w:rPr>
        <w:t>D</w:t>
      </w:r>
      <w:r w:rsidR="00EC3E19">
        <w:rPr>
          <w:b/>
          <w:bCs/>
          <w:sz w:val="28"/>
          <w:szCs w:val="28"/>
        </w:rPr>
        <w:t xml:space="preserve">iese Stellungnahme bezieht sich auf den Stand vom </w:t>
      </w:r>
      <w:r w:rsidR="008A6977">
        <w:rPr>
          <w:b/>
          <w:bCs/>
          <w:sz w:val="28"/>
          <w:szCs w:val="28"/>
        </w:rPr>
        <w:t>10.7.2026</w:t>
      </w:r>
    </w:p>
    <w:p w14:paraId="7CB76792" w14:textId="77777777" w:rsidR="00EC3E19" w:rsidRPr="00022EA8" w:rsidRDefault="00EC3E19" w:rsidP="00EC3E19"/>
    <w:tbl>
      <w:tblPr>
        <w:tblStyle w:val="Tabellenraster"/>
        <w:tblW w:w="9322" w:type="dxa"/>
        <w:tblLook w:val="04A0" w:firstRow="1" w:lastRow="0" w:firstColumn="1" w:lastColumn="0" w:noHBand="0" w:noVBand="1"/>
      </w:tblPr>
      <w:tblGrid>
        <w:gridCol w:w="2093"/>
        <w:gridCol w:w="7229"/>
      </w:tblGrid>
      <w:tr w:rsidR="00EC3E19" w:rsidRPr="00022EA8" w14:paraId="0215F692" w14:textId="77777777" w:rsidTr="009F1453">
        <w:tc>
          <w:tcPr>
            <w:tcW w:w="2093" w:type="dxa"/>
          </w:tcPr>
          <w:p w14:paraId="230D4354" w14:textId="7A1EC9A3" w:rsidR="00EC3E19" w:rsidRPr="00022EA8" w:rsidRDefault="00B35787" w:rsidP="009F1453">
            <w:pPr>
              <w:rPr>
                <w:b/>
              </w:rPr>
            </w:pPr>
            <w:r>
              <w:rPr>
                <w:b/>
              </w:rPr>
              <w:t>Absender der Stellungnahme:</w:t>
            </w:r>
          </w:p>
        </w:tc>
        <w:tc>
          <w:tcPr>
            <w:tcW w:w="7229" w:type="dxa"/>
          </w:tcPr>
          <w:p w14:paraId="4EDCA796" w14:textId="38089290" w:rsidR="00EC3E19" w:rsidRPr="00022EA8" w:rsidRDefault="00B420EF" w:rsidP="009F1453">
            <w:r>
              <w:t>Verband der Südwestdeutschen Wohnungswirtschaft (</w:t>
            </w:r>
            <w:proofErr w:type="spellStart"/>
            <w:r>
              <w:t>VdW</w:t>
            </w:r>
            <w:proofErr w:type="spellEnd"/>
            <w:r>
              <w:t xml:space="preserve"> </w:t>
            </w:r>
            <w:proofErr w:type="spellStart"/>
            <w:r>
              <w:t>südwest</w:t>
            </w:r>
            <w:proofErr w:type="spellEnd"/>
            <w:r>
              <w:t>)</w:t>
            </w:r>
          </w:p>
        </w:tc>
      </w:tr>
      <w:tr w:rsidR="00EC3E19" w:rsidRPr="00022EA8" w14:paraId="7D440F89" w14:textId="77777777" w:rsidTr="009F1453">
        <w:tc>
          <w:tcPr>
            <w:tcW w:w="2093" w:type="dxa"/>
          </w:tcPr>
          <w:p w14:paraId="1FA0E0AF" w14:textId="77777777" w:rsidR="00EC3E19" w:rsidRPr="00022EA8" w:rsidRDefault="00EC3E19" w:rsidP="009F1453">
            <w:pPr>
              <w:rPr>
                <w:b/>
              </w:rPr>
            </w:pPr>
            <w:r w:rsidRPr="00022EA8">
              <w:rPr>
                <w:b/>
              </w:rPr>
              <w:t>Ansprechpartner:</w:t>
            </w:r>
          </w:p>
        </w:tc>
        <w:tc>
          <w:tcPr>
            <w:tcW w:w="7229" w:type="dxa"/>
          </w:tcPr>
          <w:p w14:paraId="79D86267" w14:textId="104D428F" w:rsidR="00EC3E19" w:rsidRPr="00022EA8" w:rsidRDefault="00B420EF" w:rsidP="009F1453">
            <w:r>
              <w:t>RA Stephan Gerwing</w:t>
            </w:r>
          </w:p>
        </w:tc>
      </w:tr>
      <w:tr w:rsidR="00EC3E19" w:rsidRPr="00022EA8" w14:paraId="332F1761" w14:textId="77777777" w:rsidTr="009F1453">
        <w:tc>
          <w:tcPr>
            <w:tcW w:w="2093" w:type="dxa"/>
          </w:tcPr>
          <w:p w14:paraId="3715005E" w14:textId="77777777" w:rsidR="00EC3E19" w:rsidRPr="00022EA8" w:rsidRDefault="00EC3E19" w:rsidP="009F1453">
            <w:pPr>
              <w:rPr>
                <w:b/>
              </w:rPr>
            </w:pPr>
            <w:r w:rsidRPr="00022EA8">
              <w:rPr>
                <w:b/>
              </w:rPr>
              <w:t>Adresse:</w:t>
            </w:r>
          </w:p>
        </w:tc>
        <w:tc>
          <w:tcPr>
            <w:tcW w:w="7229" w:type="dxa"/>
          </w:tcPr>
          <w:p w14:paraId="3BBBEAE5" w14:textId="0222EC00" w:rsidR="00EC3E19" w:rsidRPr="00022EA8" w:rsidRDefault="00B420EF" w:rsidP="009F1453">
            <w:r>
              <w:t>Lise-Meitner-Str. 4, 60486 Frankfurt</w:t>
            </w:r>
          </w:p>
        </w:tc>
      </w:tr>
      <w:tr w:rsidR="00EC3E19" w:rsidRPr="00022EA8" w14:paraId="75B8D227" w14:textId="77777777" w:rsidTr="009F1453">
        <w:tc>
          <w:tcPr>
            <w:tcW w:w="2093" w:type="dxa"/>
          </w:tcPr>
          <w:p w14:paraId="30A0A2F4" w14:textId="77777777" w:rsidR="00EC3E19" w:rsidRPr="00022EA8" w:rsidRDefault="00EC3E19" w:rsidP="009F1453">
            <w:pPr>
              <w:rPr>
                <w:b/>
              </w:rPr>
            </w:pPr>
            <w:r w:rsidRPr="00022EA8">
              <w:rPr>
                <w:b/>
              </w:rPr>
              <w:t>E-Mail:</w:t>
            </w:r>
          </w:p>
        </w:tc>
        <w:tc>
          <w:tcPr>
            <w:tcW w:w="7229" w:type="dxa"/>
          </w:tcPr>
          <w:p w14:paraId="1D9845C1" w14:textId="4810073F" w:rsidR="00EC3E19" w:rsidRPr="00022EA8" w:rsidRDefault="00B420EF" w:rsidP="009F1453">
            <w:r>
              <w:t>stephan.gerwing@vdwsuedwest.de</w:t>
            </w:r>
          </w:p>
        </w:tc>
      </w:tr>
      <w:tr w:rsidR="00EC3E19" w:rsidRPr="00022EA8" w14:paraId="52C5C121" w14:textId="77777777" w:rsidTr="009F1453">
        <w:tc>
          <w:tcPr>
            <w:tcW w:w="2093" w:type="dxa"/>
          </w:tcPr>
          <w:p w14:paraId="4E632897" w14:textId="77777777" w:rsidR="00EC3E19" w:rsidRPr="00022EA8" w:rsidRDefault="00EC3E19" w:rsidP="009F1453">
            <w:pPr>
              <w:rPr>
                <w:b/>
              </w:rPr>
            </w:pPr>
            <w:r w:rsidRPr="00022EA8">
              <w:rPr>
                <w:b/>
              </w:rPr>
              <w:t>Datum:</w:t>
            </w:r>
          </w:p>
        </w:tc>
        <w:tc>
          <w:tcPr>
            <w:tcW w:w="7229" w:type="dxa"/>
          </w:tcPr>
          <w:p w14:paraId="4D18FD99" w14:textId="59BFEAF0" w:rsidR="00EC3E19" w:rsidRPr="00022EA8" w:rsidRDefault="00B420EF" w:rsidP="009F1453">
            <w:r>
              <w:t>13.08.2026</w:t>
            </w:r>
          </w:p>
        </w:tc>
      </w:tr>
    </w:tbl>
    <w:p w14:paraId="078EF412" w14:textId="77777777" w:rsidR="00EC3E19" w:rsidRPr="00022EA8" w:rsidRDefault="00EC3E19" w:rsidP="00EC3E19"/>
    <w:tbl>
      <w:tblPr>
        <w:tblStyle w:val="Tabellenraster"/>
        <w:tblW w:w="0" w:type="auto"/>
        <w:tblLayout w:type="fixed"/>
        <w:tblLook w:val="04A0" w:firstRow="1" w:lastRow="0" w:firstColumn="1" w:lastColumn="0" w:noHBand="0" w:noVBand="1"/>
      </w:tblPr>
      <w:tblGrid>
        <w:gridCol w:w="675"/>
        <w:gridCol w:w="1276"/>
        <w:gridCol w:w="4422"/>
        <w:gridCol w:w="2496"/>
        <w:gridCol w:w="2825"/>
        <w:gridCol w:w="2809"/>
      </w:tblGrid>
      <w:tr w:rsidR="00EC3E19" w:rsidRPr="00022EA8" w14:paraId="6BB20542" w14:textId="77777777" w:rsidTr="009F1453">
        <w:trPr>
          <w:tblHeader/>
        </w:trPr>
        <w:tc>
          <w:tcPr>
            <w:tcW w:w="675" w:type="dxa"/>
          </w:tcPr>
          <w:p w14:paraId="12360B4B" w14:textId="77777777" w:rsidR="00EC3E19" w:rsidRPr="00022EA8" w:rsidRDefault="00EC3E19" w:rsidP="009F1453">
            <w:pPr>
              <w:rPr>
                <w:b/>
              </w:rPr>
            </w:pPr>
            <w:r w:rsidRPr="00022EA8">
              <w:rPr>
                <w:b/>
              </w:rPr>
              <w:lastRenderedPageBreak/>
              <w:t>Lfd. Nr.</w:t>
            </w:r>
          </w:p>
        </w:tc>
        <w:tc>
          <w:tcPr>
            <w:tcW w:w="1276" w:type="dxa"/>
          </w:tcPr>
          <w:p w14:paraId="3E5BEAED" w14:textId="77777777" w:rsidR="00EC3E19" w:rsidRPr="00022EA8" w:rsidRDefault="00EC3E19" w:rsidP="009F1453">
            <w:pPr>
              <w:rPr>
                <w:b/>
              </w:rPr>
            </w:pPr>
            <w:r w:rsidRPr="00022EA8">
              <w:rPr>
                <w:b/>
              </w:rPr>
              <w:t>Bezug im Gesetz-entwurf [Art. /§ /S. /</w:t>
            </w:r>
            <w:proofErr w:type="spellStart"/>
            <w:r w:rsidRPr="00022EA8">
              <w:rPr>
                <w:b/>
              </w:rPr>
              <w:t>Begr</w:t>
            </w:r>
            <w:proofErr w:type="spellEnd"/>
            <w:r w:rsidRPr="00022EA8">
              <w:rPr>
                <w:b/>
              </w:rPr>
              <w:t>.]</w:t>
            </w:r>
          </w:p>
        </w:tc>
        <w:tc>
          <w:tcPr>
            <w:tcW w:w="4422" w:type="dxa"/>
          </w:tcPr>
          <w:p w14:paraId="67506627" w14:textId="77777777" w:rsidR="00EC3E19" w:rsidRPr="00022EA8" w:rsidRDefault="00EC3E19" w:rsidP="009F1453">
            <w:pPr>
              <w:rPr>
                <w:b/>
              </w:rPr>
            </w:pPr>
            <w:r w:rsidRPr="00022EA8">
              <w:rPr>
                <w:b/>
              </w:rPr>
              <w:t>Text des Bezugs im Gesetzentwurf</w:t>
            </w:r>
          </w:p>
        </w:tc>
        <w:tc>
          <w:tcPr>
            <w:tcW w:w="2496" w:type="dxa"/>
          </w:tcPr>
          <w:p w14:paraId="126BE121" w14:textId="77777777" w:rsidR="00EC3E19" w:rsidRPr="00022EA8" w:rsidRDefault="00EC3E19" w:rsidP="009F1453">
            <w:pPr>
              <w:rPr>
                <w:b/>
              </w:rPr>
            </w:pPr>
            <w:r w:rsidRPr="00022EA8">
              <w:rPr>
                <w:b/>
              </w:rPr>
              <w:t>Art der Anmerkung [</w:t>
            </w:r>
            <w:proofErr w:type="spellStart"/>
            <w:proofErr w:type="gramStart"/>
            <w:r w:rsidRPr="00022EA8">
              <w:rPr>
                <w:b/>
              </w:rPr>
              <w:t>redakt</w:t>
            </w:r>
            <w:proofErr w:type="spellEnd"/>
            <w:r w:rsidRPr="00022EA8">
              <w:rPr>
                <w:b/>
              </w:rPr>
              <w:t>./</w:t>
            </w:r>
            <w:proofErr w:type="gramEnd"/>
            <w:r w:rsidRPr="00022EA8">
              <w:rPr>
                <w:b/>
              </w:rPr>
              <w:t xml:space="preserve"> allg./ rechtl./ </w:t>
            </w:r>
            <w:proofErr w:type="spellStart"/>
            <w:proofErr w:type="gramStart"/>
            <w:r w:rsidRPr="00022EA8">
              <w:rPr>
                <w:b/>
              </w:rPr>
              <w:t>inhaltl</w:t>
            </w:r>
            <w:proofErr w:type="spellEnd"/>
            <w:r w:rsidRPr="00022EA8">
              <w:rPr>
                <w:b/>
              </w:rPr>
              <w:t>./</w:t>
            </w:r>
            <w:proofErr w:type="gramEnd"/>
            <w:r w:rsidRPr="00022EA8">
              <w:rPr>
                <w:b/>
              </w:rPr>
              <w:t>zum Erfüllungsaufwand]</w:t>
            </w:r>
          </w:p>
        </w:tc>
        <w:tc>
          <w:tcPr>
            <w:tcW w:w="2825" w:type="dxa"/>
          </w:tcPr>
          <w:p w14:paraId="4FA8653C" w14:textId="77777777" w:rsidR="00EC3E19" w:rsidRPr="00022EA8" w:rsidRDefault="00EC3E19" w:rsidP="009F1453">
            <w:pPr>
              <w:rPr>
                <w:b/>
              </w:rPr>
            </w:pPr>
            <w:r w:rsidRPr="00022EA8">
              <w:rPr>
                <w:b/>
              </w:rPr>
              <w:t>Anmerkung/ Kommentar/ Einwendung</w:t>
            </w:r>
          </w:p>
        </w:tc>
        <w:tc>
          <w:tcPr>
            <w:tcW w:w="2809" w:type="dxa"/>
          </w:tcPr>
          <w:p w14:paraId="0A409C1F" w14:textId="77777777" w:rsidR="00EC3E19" w:rsidRPr="00022EA8" w:rsidRDefault="00EC3E19" w:rsidP="009F1453">
            <w:pPr>
              <w:rPr>
                <w:b/>
              </w:rPr>
            </w:pPr>
            <w:r w:rsidRPr="00022EA8">
              <w:rPr>
                <w:b/>
              </w:rPr>
              <w:t>Angeregte Änderung</w:t>
            </w:r>
          </w:p>
        </w:tc>
      </w:tr>
      <w:tr w:rsidR="00EC3E19" w:rsidRPr="00022EA8" w14:paraId="185AA106" w14:textId="77777777" w:rsidTr="009F1453">
        <w:trPr>
          <w:tblHeader/>
        </w:trPr>
        <w:tc>
          <w:tcPr>
            <w:tcW w:w="675" w:type="dxa"/>
          </w:tcPr>
          <w:p w14:paraId="2780B76E" w14:textId="7A6094A1" w:rsidR="00EC3E19" w:rsidRPr="00022EA8" w:rsidRDefault="008369EC" w:rsidP="009F1453">
            <w:pPr>
              <w:rPr>
                <w:b/>
              </w:rPr>
            </w:pPr>
            <w:r>
              <w:rPr>
                <w:b/>
              </w:rPr>
              <w:lastRenderedPageBreak/>
              <w:t>15</w:t>
            </w:r>
          </w:p>
        </w:tc>
        <w:tc>
          <w:tcPr>
            <w:tcW w:w="1276" w:type="dxa"/>
          </w:tcPr>
          <w:p w14:paraId="1009B395" w14:textId="1E1143D5" w:rsidR="00EC3E19" w:rsidRPr="00022EA8" w:rsidRDefault="008369EC" w:rsidP="009F1453">
            <w:pPr>
              <w:rPr>
                <w:b/>
              </w:rPr>
            </w:pPr>
            <w:r>
              <w:rPr>
                <w:b/>
              </w:rPr>
              <w:t>1/§§ 51 Abs.5 i. V. m. § 15 Abs. 1/5/17</w:t>
            </w:r>
          </w:p>
        </w:tc>
        <w:tc>
          <w:tcPr>
            <w:tcW w:w="4422" w:type="dxa"/>
          </w:tcPr>
          <w:p w14:paraId="5F3B0C94" w14:textId="5961DB6B" w:rsidR="00EC3E19" w:rsidRPr="008369EC" w:rsidRDefault="008369EC" w:rsidP="009F1453">
            <w:pPr>
              <w:rPr>
                <w:bCs/>
              </w:rPr>
            </w:pPr>
            <w:r w:rsidRPr="008369EC">
              <w:rPr>
                <w:bCs/>
              </w:rPr>
              <w:t xml:space="preserve">Werden rechtmäßig bestehende Gebäude zur Schaffung von Wohnraum erstmals um ein Geschoss aufgestockt, sind auf bestehende Bauteile die </w:t>
            </w:r>
            <w:r w:rsidRPr="008369EC">
              <w:rPr>
                <w:b/>
              </w:rPr>
              <w:t>§ 15 Abs. 1</w:t>
            </w:r>
            <w:r w:rsidRPr="008369EC">
              <w:rPr>
                <w:bCs/>
              </w:rPr>
              <w:t>, §§ 30, 32 bis 35, 37, 38 Abs. 4 bis 8 und § 39 nicht anzuwenden</w:t>
            </w:r>
            <w:r w:rsidR="00E05EC4">
              <w:rPr>
                <w:bCs/>
              </w:rPr>
              <w:t>.</w:t>
            </w:r>
          </w:p>
        </w:tc>
        <w:tc>
          <w:tcPr>
            <w:tcW w:w="2496" w:type="dxa"/>
          </w:tcPr>
          <w:p w14:paraId="775E8578" w14:textId="02FBC36C" w:rsidR="00EC3E19" w:rsidRPr="00FC12EF" w:rsidRDefault="008369EC" w:rsidP="009F1453">
            <w:pPr>
              <w:rPr>
                <w:b/>
              </w:rPr>
            </w:pPr>
            <w:r w:rsidRPr="00FC12EF">
              <w:rPr>
                <w:b/>
              </w:rPr>
              <w:t>Inhaltlich</w:t>
            </w:r>
          </w:p>
        </w:tc>
        <w:tc>
          <w:tcPr>
            <w:tcW w:w="2825" w:type="dxa"/>
          </w:tcPr>
          <w:p w14:paraId="00334888" w14:textId="1076BC21" w:rsidR="00EC3E19" w:rsidRPr="008369EC" w:rsidRDefault="008369EC" w:rsidP="009F1453">
            <w:pPr>
              <w:rPr>
                <w:bCs/>
              </w:rPr>
            </w:pPr>
            <w:r>
              <w:rPr>
                <w:bCs/>
              </w:rPr>
              <w:t>Die durch die Aufnahme des § 15 Abs. 1 geschaffene Befreiung von den Anforderungen des Schallschutzes bei Aufstockungen wird ausdrücklich begrüßt. Entsprechende Regelungen für den Neubau wurden seitens des Ministeriums mit dem Hinweis auf Pläne der Bundesregierung und der entsprechenden Fachministerien zur Schaffung eines bundesweiten einheitlichen Rahmens aus der Kommissionsarbeit ausgeklammert. Hier</w:t>
            </w:r>
            <w:r w:rsidR="00E05EC4">
              <w:rPr>
                <w:bCs/>
              </w:rPr>
              <w:t xml:space="preserve"> </w:t>
            </w:r>
            <w:r>
              <w:rPr>
                <w:bCs/>
              </w:rPr>
              <w:t>sollte eine enge Nachverfolgung der Maßnahmen auf Bundeseben erfolgen, um ggf. doch wieder landesgesetzlich aktiv werden zu könne</w:t>
            </w:r>
            <w:r w:rsidR="00E05EC4">
              <w:rPr>
                <w:bCs/>
              </w:rPr>
              <w:t>n</w:t>
            </w:r>
            <w:r>
              <w:rPr>
                <w:bCs/>
              </w:rPr>
              <w:t>, wenn notwendig.</w:t>
            </w:r>
          </w:p>
        </w:tc>
        <w:tc>
          <w:tcPr>
            <w:tcW w:w="2809" w:type="dxa"/>
          </w:tcPr>
          <w:p w14:paraId="4A72274D" w14:textId="1465123A" w:rsidR="00EC3E19" w:rsidRPr="00E25EE6" w:rsidRDefault="008369EC" w:rsidP="009F1453">
            <w:pPr>
              <w:rPr>
                <w:bCs/>
              </w:rPr>
            </w:pPr>
            <w:r w:rsidRPr="00E25EE6">
              <w:rPr>
                <w:bCs/>
              </w:rPr>
              <w:t>Enge Begleitung und Nachverfolgung der Pläne auf Bundesebene, Erleichterungen für den Schallschutz</w:t>
            </w:r>
            <w:r w:rsidR="00E25EE6" w:rsidRPr="00E25EE6">
              <w:rPr>
                <w:bCs/>
              </w:rPr>
              <w:t xml:space="preserve"> im Neubau vorzunehmen.</w:t>
            </w:r>
          </w:p>
        </w:tc>
      </w:tr>
      <w:tr w:rsidR="00EC3E19" w:rsidRPr="00022EA8" w14:paraId="12E43663" w14:textId="77777777" w:rsidTr="009F1453">
        <w:trPr>
          <w:tblHeader/>
        </w:trPr>
        <w:tc>
          <w:tcPr>
            <w:tcW w:w="675" w:type="dxa"/>
          </w:tcPr>
          <w:p w14:paraId="67E02231" w14:textId="0478F452" w:rsidR="00EC3E19" w:rsidRPr="00022EA8" w:rsidRDefault="00E25EE6" w:rsidP="009F1453">
            <w:pPr>
              <w:rPr>
                <w:b/>
              </w:rPr>
            </w:pPr>
            <w:r>
              <w:rPr>
                <w:b/>
              </w:rPr>
              <w:lastRenderedPageBreak/>
              <w:t>6</w:t>
            </w:r>
          </w:p>
        </w:tc>
        <w:tc>
          <w:tcPr>
            <w:tcW w:w="1276" w:type="dxa"/>
          </w:tcPr>
          <w:p w14:paraId="1C8CA8CA" w14:textId="42D7F970" w:rsidR="00EC3E19" w:rsidRPr="00022EA8" w:rsidRDefault="00E25EE6" w:rsidP="009F1453">
            <w:pPr>
              <w:rPr>
                <w:b/>
              </w:rPr>
            </w:pPr>
            <w:r>
              <w:rPr>
                <w:b/>
              </w:rPr>
              <w:t>1/§ 14 Abs. 2 Satz</w:t>
            </w:r>
            <w:r w:rsidR="00905BC4">
              <w:rPr>
                <w:b/>
              </w:rPr>
              <w:t xml:space="preserve"> </w:t>
            </w:r>
            <w:r>
              <w:rPr>
                <w:b/>
              </w:rPr>
              <w:t>3</w:t>
            </w:r>
            <w:r w:rsidR="00905BC4">
              <w:rPr>
                <w:b/>
              </w:rPr>
              <w:t xml:space="preserve"> </w:t>
            </w:r>
            <w:r>
              <w:rPr>
                <w:b/>
              </w:rPr>
              <w:t>/4</w:t>
            </w:r>
            <w:r w:rsidR="00905BC4">
              <w:rPr>
                <w:b/>
              </w:rPr>
              <w:t xml:space="preserve"> </w:t>
            </w:r>
            <w:r>
              <w:rPr>
                <w:b/>
              </w:rPr>
              <w:t>/15</w:t>
            </w:r>
          </w:p>
        </w:tc>
        <w:tc>
          <w:tcPr>
            <w:tcW w:w="4422" w:type="dxa"/>
          </w:tcPr>
          <w:p w14:paraId="0F7EB0BB" w14:textId="2DE58A68" w:rsidR="00E25EE6" w:rsidRPr="002025B8" w:rsidRDefault="00E25EE6" w:rsidP="00E25EE6">
            <w:pPr>
              <w:rPr>
                <w:bCs/>
              </w:rPr>
            </w:pPr>
            <w:r w:rsidRPr="002025B8">
              <w:rPr>
                <w:bCs/>
              </w:rPr>
              <w:t>Satz 3 wird wie folgt gefasst:</w:t>
            </w:r>
            <w:r w:rsidR="00E05EC4">
              <w:rPr>
                <w:bCs/>
              </w:rPr>
              <w:br/>
            </w:r>
            <w:r w:rsidRPr="002025B8">
              <w:rPr>
                <w:bCs/>
              </w:rPr>
              <w:t xml:space="preserve">Die Sicherstellung der Betriebsbereitschaft obliegt </w:t>
            </w:r>
          </w:p>
          <w:p w14:paraId="0F1F6C39" w14:textId="48736F39" w:rsidR="00E25EE6" w:rsidRPr="002025B8" w:rsidRDefault="00E25EE6" w:rsidP="00E25EE6">
            <w:pPr>
              <w:rPr>
                <w:bCs/>
              </w:rPr>
            </w:pPr>
            <w:r w:rsidRPr="002025B8">
              <w:rPr>
                <w:bCs/>
              </w:rPr>
              <w:t xml:space="preserve">1. in Wohnungen nach Satz 1 Nr. 1 den unmittelbaren Besitzerinnen und Besitzern, </w:t>
            </w:r>
          </w:p>
          <w:p w14:paraId="5B3411F1" w14:textId="59FB8927" w:rsidR="00EC3E19" w:rsidRPr="00022EA8" w:rsidRDefault="00E25EE6" w:rsidP="00E25EE6">
            <w:pPr>
              <w:rPr>
                <w:b/>
              </w:rPr>
            </w:pPr>
            <w:r w:rsidRPr="002025B8">
              <w:rPr>
                <w:bCs/>
              </w:rPr>
              <w:t>2. in Nutzungseinheiten nach Satz 1 Nr. 2 den Betreiberinnen und Betreibern.</w:t>
            </w:r>
          </w:p>
        </w:tc>
        <w:tc>
          <w:tcPr>
            <w:tcW w:w="2496" w:type="dxa"/>
          </w:tcPr>
          <w:p w14:paraId="77A12C1B" w14:textId="1FB5D3B4" w:rsidR="00EC3E19" w:rsidRPr="00022EA8" w:rsidRDefault="00E25EE6" w:rsidP="009F1453">
            <w:pPr>
              <w:rPr>
                <w:b/>
              </w:rPr>
            </w:pPr>
            <w:r>
              <w:rPr>
                <w:b/>
              </w:rPr>
              <w:t>Inhaltlich</w:t>
            </w:r>
          </w:p>
        </w:tc>
        <w:tc>
          <w:tcPr>
            <w:tcW w:w="2825" w:type="dxa"/>
          </w:tcPr>
          <w:p w14:paraId="7D25F4AD" w14:textId="61C9BF5C" w:rsidR="00EC3E19" w:rsidRPr="002025B8" w:rsidRDefault="00E25EE6" w:rsidP="009F1453">
            <w:pPr>
              <w:rPr>
                <w:bCs/>
              </w:rPr>
            </w:pPr>
            <w:r w:rsidRPr="002025B8">
              <w:rPr>
                <w:bCs/>
              </w:rPr>
              <w:t xml:space="preserve">Mit der Neufassung der Regelung wird der Passus „es sei denn, die Eigentümerinnen </w:t>
            </w:r>
            <w:r w:rsidR="006204FB" w:rsidRPr="002025B8">
              <w:rPr>
                <w:bCs/>
              </w:rPr>
              <w:t>oder die</w:t>
            </w:r>
            <w:r w:rsidRPr="002025B8">
              <w:rPr>
                <w:bCs/>
              </w:rPr>
              <w:t xml:space="preserve"> Eigentümer haben diese Verpflichtung übernommen“ gestrichen. Wir sprechen uns gegen diese Streichung aus, da sie sich in der Praxis bewährt hat und viele unserer Mitgliedsunternehmen, oftmals auch im ausdrücklichen Interesse der Mieter, eben diese Verpflichtung übernommen und zum Teil langjährige Wartungsverträge </w:t>
            </w:r>
            <w:r w:rsidR="00B474F8" w:rsidRPr="002025B8">
              <w:rPr>
                <w:bCs/>
              </w:rPr>
              <w:t xml:space="preserve">mit Dienstleistern </w:t>
            </w:r>
            <w:r w:rsidRPr="002025B8">
              <w:rPr>
                <w:bCs/>
              </w:rPr>
              <w:t xml:space="preserve">abgeschlossen haben. Im gewerblichen Vermietungsbereich kann nur so die für den Brandschutz wichtige Funktionalität von Rauchwarnmeldern garantiert und sichergestellt werden. Diese Sicherheit </w:t>
            </w:r>
            <w:r w:rsidR="00A311BA" w:rsidRPr="002025B8">
              <w:rPr>
                <w:bCs/>
              </w:rPr>
              <w:t>wäre</w:t>
            </w:r>
            <w:r w:rsidRPr="002025B8">
              <w:rPr>
                <w:bCs/>
              </w:rPr>
              <w:t xml:space="preserve"> in der Breite</w:t>
            </w:r>
            <w:r w:rsidR="00A311BA" w:rsidRPr="002025B8">
              <w:rPr>
                <w:bCs/>
              </w:rPr>
              <w:t xml:space="preserve"> durch die Mieter</w:t>
            </w:r>
            <w:r w:rsidRPr="002025B8">
              <w:rPr>
                <w:bCs/>
              </w:rPr>
              <w:t xml:space="preserve"> nicht gegeben</w:t>
            </w:r>
            <w:r w:rsidR="00A311BA" w:rsidRPr="002025B8">
              <w:rPr>
                <w:bCs/>
              </w:rPr>
              <w:t xml:space="preserve">. </w:t>
            </w:r>
            <w:r w:rsidR="00A311BA" w:rsidRPr="002025B8">
              <w:rPr>
                <w:bCs/>
              </w:rPr>
              <w:lastRenderedPageBreak/>
              <w:t>Zudem ist auch keine</w:t>
            </w:r>
            <w:r w:rsidR="00ED5387">
              <w:rPr>
                <w:bCs/>
              </w:rPr>
              <w:t xml:space="preserve"> </w:t>
            </w:r>
            <w:r w:rsidR="005A7E9E">
              <w:rPr>
                <w:bCs/>
              </w:rPr>
              <w:t>–</w:t>
            </w:r>
            <w:r w:rsidR="00ED5387">
              <w:rPr>
                <w:bCs/>
              </w:rPr>
              <w:t xml:space="preserve"> </w:t>
            </w:r>
            <w:r w:rsidR="00A311BA" w:rsidRPr="002025B8">
              <w:rPr>
                <w:bCs/>
              </w:rPr>
              <w:t xml:space="preserve">wie in der Kommission aus unserer Erinnerung heraus </w:t>
            </w:r>
            <w:r w:rsidR="00683D0A" w:rsidRPr="002025B8">
              <w:rPr>
                <w:bCs/>
              </w:rPr>
              <w:t>beschlossene</w:t>
            </w:r>
            <w:r w:rsidR="005A7E9E">
              <w:rPr>
                <w:bCs/>
              </w:rPr>
              <w:t xml:space="preserve"> –</w:t>
            </w:r>
            <w:r w:rsidR="00A311BA" w:rsidRPr="002025B8">
              <w:rPr>
                <w:bCs/>
              </w:rPr>
              <w:t xml:space="preserve"> </w:t>
            </w:r>
            <w:r w:rsidR="00683D0A" w:rsidRPr="002025B8">
              <w:rPr>
                <w:bCs/>
              </w:rPr>
              <w:t>befristete Übergangsregelung</w:t>
            </w:r>
            <w:r w:rsidR="00A311BA" w:rsidRPr="002025B8">
              <w:rPr>
                <w:bCs/>
              </w:rPr>
              <w:t xml:space="preserve"> </w:t>
            </w:r>
            <w:r w:rsidR="00683D0A" w:rsidRPr="002025B8">
              <w:rPr>
                <w:bCs/>
              </w:rPr>
              <w:t>für</w:t>
            </w:r>
            <w:r w:rsidR="00A311BA" w:rsidRPr="002025B8">
              <w:rPr>
                <w:bCs/>
              </w:rPr>
              <w:t xml:space="preserve"> langjährige Wartungsverträge</w:t>
            </w:r>
            <w:r w:rsidR="00B474F8" w:rsidRPr="002025B8">
              <w:rPr>
                <w:bCs/>
              </w:rPr>
              <w:t xml:space="preserve"> aufgenommen worden. </w:t>
            </w:r>
            <w:r w:rsidR="00B15471" w:rsidRPr="002025B8">
              <w:rPr>
                <w:bCs/>
              </w:rPr>
              <w:t xml:space="preserve">Das </w:t>
            </w:r>
            <w:r w:rsidR="00B474F8" w:rsidRPr="002025B8">
              <w:rPr>
                <w:bCs/>
              </w:rPr>
              <w:t>in der Kommission vorgebrachte Argument für die geplante Änderung, dass für Mieter eine Kostenentlastung eintreten würde</w:t>
            </w:r>
            <w:r w:rsidR="00B15471" w:rsidRPr="002025B8">
              <w:rPr>
                <w:bCs/>
              </w:rPr>
              <w:t>, trifft nicht zu, da sich die Umlagefähigkeit allein nac</w:t>
            </w:r>
            <w:r w:rsidR="00BE617D" w:rsidRPr="002025B8">
              <w:rPr>
                <w:bCs/>
              </w:rPr>
              <w:t>h zivilrechtlichen Regelungen bemisst und auch nach ständiger höchstrichterlicher Rechtsprechung</w:t>
            </w:r>
            <w:r w:rsidR="00C443E8" w:rsidRPr="002025B8">
              <w:rPr>
                <w:bCs/>
              </w:rPr>
              <w:t xml:space="preserve"> eine Umlage der Wartungskosten weiterhin möglich sein wird.</w:t>
            </w:r>
            <w:r w:rsidR="00577985" w:rsidRPr="002025B8">
              <w:rPr>
                <w:bCs/>
              </w:rPr>
              <w:t xml:space="preserve"> In der Konstellation der langjährigen Wartung</w:t>
            </w:r>
            <w:r w:rsidR="00883FFF" w:rsidRPr="002025B8">
              <w:rPr>
                <w:bCs/>
              </w:rPr>
              <w:t xml:space="preserve"> durch Eigentümer wird ein Mieter nicht einen Cent einsparen.</w:t>
            </w:r>
            <w:r w:rsidR="00C443E8" w:rsidRPr="002025B8">
              <w:rPr>
                <w:bCs/>
              </w:rPr>
              <w:t xml:space="preserve"> Zum </w:t>
            </w:r>
            <w:r w:rsidR="00077238">
              <w:rPr>
                <w:bCs/>
              </w:rPr>
              <w:t>Z</w:t>
            </w:r>
            <w:r w:rsidR="00C443E8" w:rsidRPr="002025B8">
              <w:rPr>
                <w:bCs/>
              </w:rPr>
              <w:t>weiten tritt durch die geplante Änderung</w:t>
            </w:r>
            <w:r w:rsidR="00F6585E" w:rsidRPr="002025B8">
              <w:rPr>
                <w:bCs/>
              </w:rPr>
              <w:t xml:space="preserve"> keine Baukostenerleichterung ein, </w:t>
            </w:r>
            <w:r w:rsidR="00F6585E" w:rsidRPr="002025B8">
              <w:rPr>
                <w:bCs/>
              </w:rPr>
              <w:lastRenderedPageBreak/>
              <w:t>was ja die originäre Zielsetzung der Kommissionsarbeit und der</w:t>
            </w:r>
            <w:r w:rsidR="00B93DF4" w:rsidRPr="002025B8">
              <w:rPr>
                <w:bCs/>
              </w:rPr>
              <w:t xml:space="preserve"> gesetzlichen Änderungen bleiben sollte. Die Installationskosten verbleiben ausschließlich beim Eigentümer.</w:t>
            </w:r>
            <w:r w:rsidR="00892D7D" w:rsidRPr="002025B8">
              <w:rPr>
                <w:bCs/>
              </w:rPr>
              <w:t xml:space="preserve"> Oberstes Argument aber bleibt, dass durch die Streichung Funktionsfähigkeit und Brandschutz der Rauchwarnmelder in der Praxis </w:t>
            </w:r>
            <w:r w:rsidR="00C90F80" w:rsidRPr="002025B8">
              <w:rPr>
                <w:bCs/>
              </w:rPr>
              <w:t>nach unseren Erfahrungen erheblich leiden könnte</w:t>
            </w:r>
            <w:r w:rsidR="00077238">
              <w:rPr>
                <w:bCs/>
              </w:rPr>
              <w:t>n</w:t>
            </w:r>
            <w:r w:rsidR="00C90F80" w:rsidRPr="002025B8">
              <w:rPr>
                <w:bCs/>
              </w:rPr>
              <w:t xml:space="preserve">, wenn Mieter tatsächlich wieder vermehrt die </w:t>
            </w:r>
            <w:r w:rsidR="008467F4" w:rsidRPr="002025B8">
              <w:rPr>
                <w:bCs/>
              </w:rPr>
              <w:t>originäre gesetzliche Wartungspflicht wahrnehmen sollten. Zudem dürfte die Streichung für wenig zielführende Diskuss</w:t>
            </w:r>
            <w:r w:rsidR="00577985" w:rsidRPr="002025B8">
              <w:rPr>
                <w:bCs/>
              </w:rPr>
              <w:t>ionen in der Praxis sorgen.</w:t>
            </w:r>
            <w:r w:rsidR="00C90F80" w:rsidRPr="002025B8">
              <w:rPr>
                <w:bCs/>
              </w:rPr>
              <w:t xml:space="preserve"> </w:t>
            </w:r>
          </w:p>
        </w:tc>
        <w:tc>
          <w:tcPr>
            <w:tcW w:w="2809" w:type="dxa"/>
          </w:tcPr>
          <w:p w14:paraId="42E23499" w14:textId="4BAA867E" w:rsidR="008F1DAF" w:rsidRPr="002025B8" w:rsidRDefault="006204FB" w:rsidP="009F1453">
            <w:pPr>
              <w:rPr>
                <w:bCs/>
              </w:rPr>
            </w:pPr>
            <w:r w:rsidRPr="002025B8">
              <w:rPr>
                <w:bCs/>
              </w:rPr>
              <w:lastRenderedPageBreak/>
              <w:t>Rücknahme der Streichung des Passus „es sei denn</w:t>
            </w:r>
            <w:r w:rsidR="005A7E9E">
              <w:rPr>
                <w:bCs/>
              </w:rPr>
              <w:t xml:space="preserve">, </w:t>
            </w:r>
            <w:proofErr w:type="gramStart"/>
            <w:r w:rsidR="005A7E9E">
              <w:rPr>
                <w:bCs/>
              </w:rPr>
              <w:t xml:space="preserve">– </w:t>
            </w:r>
            <w:r w:rsidRPr="002025B8">
              <w:rPr>
                <w:bCs/>
              </w:rPr>
              <w:t xml:space="preserve"> die</w:t>
            </w:r>
            <w:proofErr w:type="gramEnd"/>
            <w:r w:rsidRPr="002025B8">
              <w:rPr>
                <w:bCs/>
              </w:rPr>
              <w:t xml:space="preserve"> Eigentümerinnen oder die Eigentümer</w:t>
            </w:r>
            <w:r w:rsidR="008F1DAF" w:rsidRPr="002025B8">
              <w:rPr>
                <w:bCs/>
              </w:rPr>
              <w:t xml:space="preserve"> haben diese Verpflichtung übernommen“</w:t>
            </w:r>
          </w:p>
          <w:p w14:paraId="34288E34" w14:textId="4F7F7B42" w:rsidR="00EC3E19" w:rsidRPr="002025B8" w:rsidRDefault="008F1DAF" w:rsidP="009F1453">
            <w:pPr>
              <w:rPr>
                <w:bCs/>
              </w:rPr>
            </w:pPr>
            <w:r w:rsidRPr="002025B8">
              <w:rPr>
                <w:bCs/>
              </w:rPr>
              <w:t xml:space="preserve">Alternativ: Berücksichtigung der in der gewerblichen Vermietungspraxis weit verbreiteten </w:t>
            </w:r>
            <w:r w:rsidR="00B97CCA" w:rsidRPr="002025B8">
              <w:rPr>
                <w:bCs/>
              </w:rPr>
              <w:t>langjährigen Wartungsverträge, bspw. durch eine entsprechende gesetzliche Rückausnahme.</w:t>
            </w:r>
            <w:r w:rsidR="006204FB" w:rsidRPr="002025B8">
              <w:rPr>
                <w:bCs/>
              </w:rPr>
              <w:t xml:space="preserve"> </w:t>
            </w:r>
          </w:p>
        </w:tc>
      </w:tr>
      <w:tr w:rsidR="00EC3E19" w:rsidRPr="00022EA8" w14:paraId="1201F019" w14:textId="77777777" w:rsidTr="009F1453">
        <w:trPr>
          <w:tblHeader/>
        </w:trPr>
        <w:tc>
          <w:tcPr>
            <w:tcW w:w="675" w:type="dxa"/>
          </w:tcPr>
          <w:p w14:paraId="5807311B" w14:textId="2E3EF01A" w:rsidR="00EC3E19" w:rsidRPr="006C6A0E" w:rsidRDefault="006C6A0E" w:rsidP="009F1453">
            <w:pPr>
              <w:rPr>
                <w:b/>
              </w:rPr>
            </w:pPr>
            <w:r w:rsidRPr="006C6A0E">
              <w:rPr>
                <w:b/>
              </w:rPr>
              <w:lastRenderedPageBreak/>
              <w:t>12</w:t>
            </w:r>
          </w:p>
        </w:tc>
        <w:tc>
          <w:tcPr>
            <w:tcW w:w="1276" w:type="dxa"/>
          </w:tcPr>
          <w:p w14:paraId="26F3BB0B" w14:textId="7E3845BF" w:rsidR="00EC3E19" w:rsidRPr="00022EA8" w:rsidRDefault="00F02706" w:rsidP="009F1453">
            <w:pPr>
              <w:rPr>
                <w:b/>
              </w:rPr>
            </w:pPr>
            <w:r>
              <w:rPr>
                <w:b/>
              </w:rPr>
              <w:t>1/§ 40 Abs. 5</w:t>
            </w:r>
            <w:r w:rsidR="006617B3">
              <w:rPr>
                <w:b/>
              </w:rPr>
              <w:t xml:space="preserve"> Satz </w:t>
            </w:r>
            <w:r w:rsidR="0076083B">
              <w:rPr>
                <w:b/>
              </w:rPr>
              <w:t>/5</w:t>
            </w:r>
            <w:r w:rsidR="00E848CB">
              <w:rPr>
                <w:b/>
              </w:rPr>
              <w:t xml:space="preserve"> </w:t>
            </w:r>
            <w:r w:rsidR="0076083B">
              <w:rPr>
                <w:b/>
              </w:rPr>
              <w:t>/</w:t>
            </w:r>
            <w:r w:rsidR="00A85748">
              <w:rPr>
                <w:b/>
              </w:rPr>
              <w:t>17</w:t>
            </w:r>
          </w:p>
        </w:tc>
        <w:tc>
          <w:tcPr>
            <w:tcW w:w="4422" w:type="dxa"/>
          </w:tcPr>
          <w:p w14:paraId="6F5B4D7D" w14:textId="68651243" w:rsidR="00EC3E19" w:rsidRPr="00022EA8" w:rsidRDefault="00EA7D9B" w:rsidP="009F1453">
            <w:pPr>
              <w:rPr>
                <w:b/>
              </w:rPr>
            </w:pPr>
            <w:r w:rsidRPr="00705A50">
              <w:rPr>
                <w:bCs/>
              </w:rPr>
              <w:t xml:space="preserve">Fenster, die als Rettungswege nach § 36 Abs. 2 Satz 2 dienen, müssen im Lichten mindestens 0,90 m x 1,20 m groß sein. Diese Fenster dürfen nicht höher als 1,20 m über der Fußbodenoberkante angeordnet sein. Liegen diese Fenster in Dachschrägen oder Dachaufbauten, darf ihre Unterkante oder ein davor liegender Austritt von der Traufkante horizontal gemessen nicht mehr als 1 m </w:t>
            </w:r>
            <w:proofErr w:type="gramStart"/>
            <w:r w:rsidRPr="00705A50">
              <w:rPr>
                <w:bCs/>
              </w:rPr>
              <w:t>entfernt</w:t>
            </w:r>
            <w:proofErr w:type="gramEnd"/>
            <w:r w:rsidRPr="00705A50">
              <w:rPr>
                <w:bCs/>
              </w:rPr>
              <w:t xml:space="preserve"> sein.</w:t>
            </w:r>
            <w:r w:rsidRPr="00EA7D9B">
              <w:rPr>
                <w:b/>
              </w:rPr>
              <w:t xml:space="preserve"> Abweichend von Satz 1 müssen diese Fenster in Gebäuden, die zu Wohnzwecken aufgestockt, um-, ausgebaut oder in ihrer Nutzung geändert werden, mindestens 0,80 m x 1,00 m groß sein; abweichende Maße sind zulässig, wenn die Summe aus Fensterbreite und Fensterhöhe im Lichten mindestens 1,80 m beträgt und keine Seite weniger als 0,80 m misst.</w:t>
            </w:r>
          </w:p>
        </w:tc>
        <w:tc>
          <w:tcPr>
            <w:tcW w:w="2496" w:type="dxa"/>
          </w:tcPr>
          <w:p w14:paraId="1CB8B2F7" w14:textId="49001583" w:rsidR="00EC3E19" w:rsidRPr="00022EA8" w:rsidRDefault="00705A50" w:rsidP="009F1453">
            <w:pPr>
              <w:rPr>
                <w:b/>
              </w:rPr>
            </w:pPr>
            <w:r>
              <w:rPr>
                <w:b/>
              </w:rPr>
              <w:t>Inhaltlich</w:t>
            </w:r>
          </w:p>
        </w:tc>
        <w:tc>
          <w:tcPr>
            <w:tcW w:w="2825" w:type="dxa"/>
          </w:tcPr>
          <w:p w14:paraId="74B67FA0" w14:textId="4E2100C7" w:rsidR="00EC3E19" w:rsidRPr="002025B8" w:rsidRDefault="00AF31BA" w:rsidP="009F1453">
            <w:pPr>
              <w:rPr>
                <w:bCs/>
              </w:rPr>
            </w:pPr>
            <w:r w:rsidRPr="002025B8">
              <w:rPr>
                <w:bCs/>
              </w:rPr>
              <w:t xml:space="preserve">Aus unserer Sicht ist es </w:t>
            </w:r>
            <w:r w:rsidR="00C354CC" w:rsidRPr="002025B8">
              <w:rPr>
                <w:bCs/>
              </w:rPr>
              <w:t>nicht nachvollziehbar, dass die begrüßenswerten Erleichterungen bei den Maßen der Fenster, die als Rettungswege dienen</w:t>
            </w:r>
            <w:r w:rsidR="00885AA3" w:rsidRPr="002025B8">
              <w:rPr>
                <w:bCs/>
              </w:rPr>
              <w:t xml:space="preserve">, mitsamt der flexibleren </w:t>
            </w:r>
            <w:r w:rsidR="007A1310" w:rsidRPr="002025B8">
              <w:rPr>
                <w:bCs/>
              </w:rPr>
              <w:t xml:space="preserve">Handhabung von Höhen- und Seitenlänge nur auf </w:t>
            </w:r>
            <w:r w:rsidR="00BC2647" w:rsidRPr="002025B8">
              <w:rPr>
                <w:bCs/>
              </w:rPr>
              <w:t xml:space="preserve">Umbau- und Nachverdichtungsmaßnahmen beschränkt werden soll. </w:t>
            </w:r>
            <w:r w:rsidR="005B685B" w:rsidRPr="002025B8">
              <w:rPr>
                <w:bCs/>
              </w:rPr>
              <w:t>Unter Sicherheitsaspekten kann hier unseres Ermessens nicht zwischen Neubau und Nachverdichtung entschieden werden. Entweder sind die reduzierten Fenstergrößen, die zu erheblichen Kosteneinsparungen führen können, zulässig und möglich, oder eben nicht.</w:t>
            </w:r>
            <w:r w:rsidR="009E5BEA" w:rsidRPr="002025B8">
              <w:rPr>
                <w:bCs/>
              </w:rPr>
              <w:t xml:space="preserve"> </w:t>
            </w:r>
            <w:r w:rsidR="00E6351F" w:rsidRPr="002025B8">
              <w:rPr>
                <w:bCs/>
              </w:rPr>
              <w:t>Wir verweisen hier nochmals auf Art. 35 der Bayerischen Bauordnung, in dem die zulässige</w:t>
            </w:r>
            <w:r w:rsidR="002339AA" w:rsidRPr="002025B8">
              <w:rPr>
                <w:bCs/>
              </w:rPr>
              <w:t>n Maße</w:t>
            </w:r>
            <w:r w:rsidR="00E6351F" w:rsidRPr="002025B8">
              <w:rPr>
                <w:bCs/>
              </w:rPr>
              <w:t xml:space="preserve"> solcher Fenster sogar auf </w:t>
            </w:r>
            <w:r w:rsidR="00D57789" w:rsidRPr="002025B8">
              <w:rPr>
                <w:bCs/>
              </w:rPr>
              <w:t xml:space="preserve">eine Mindestbreite von 60 cm </w:t>
            </w:r>
            <w:r w:rsidR="00F1329B">
              <w:rPr>
                <w:bCs/>
              </w:rPr>
              <w:t xml:space="preserve">bei </w:t>
            </w:r>
            <w:r w:rsidR="00F1329B">
              <w:rPr>
                <w:bCs/>
              </w:rPr>
              <w:lastRenderedPageBreak/>
              <w:t>gleicher</w:t>
            </w:r>
            <w:r w:rsidR="00D57789" w:rsidRPr="002025B8">
              <w:rPr>
                <w:bCs/>
              </w:rPr>
              <w:t xml:space="preserve"> Mindesthöhe von </w:t>
            </w:r>
            <w:r w:rsidR="002A540A" w:rsidRPr="002025B8">
              <w:rPr>
                <w:bCs/>
              </w:rPr>
              <w:t>1 m festgelegt sind. Hier erschließt sich uns nicht, warum in Hessen etwas nicht möglich sein soll, was anderswo möglich ist.</w:t>
            </w:r>
            <w:r w:rsidR="002A2052" w:rsidRPr="002025B8">
              <w:rPr>
                <w:bCs/>
              </w:rPr>
              <w:t xml:space="preserve"> Dies betrifft zum einen die Maße und zum anderen die generelle Geltung für alle Gebäude, eingeschlossen den Neubau. Der Hinweis auf historische Gründe in Bayern </w:t>
            </w:r>
            <w:r w:rsidR="0013353A" w:rsidRPr="002025B8">
              <w:rPr>
                <w:bCs/>
              </w:rPr>
              <w:t>kann für uns hier nicht ausschlaggebend sein. Hier wäre eine</w:t>
            </w:r>
            <w:r w:rsidR="004817B2" w:rsidRPr="002025B8">
              <w:rPr>
                <w:bCs/>
              </w:rPr>
              <w:t xml:space="preserve"> Übernahme der bay</w:t>
            </w:r>
            <w:r w:rsidR="00ED5387">
              <w:rPr>
                <w:bCs/>
              </w:rPr>
              <w:t>e</w:t>
            </w:r>
            <w:r w:rsidR="004817B2" w:rsidRPr="002025B8">
              <w:rPr>
                <w:bCs/>
              </w:rPr>
              <w:t>rischen Regelung gerade unter Kostengesichtspunkten enorm hilfreich.</w:t>
            </w:r>
          </w:p>
        </w:tc>
        <w:tc>
          <w:tcPr>
            <w:tcW w:w="2809" w:type="dxa"/>
          </w:tcPr>
          <w:p w14:paraId="3F7F467D" w14:textId="77777777" w:rsidR="00EC3E19" w:rsidRPr="002025B8" w:rsidRDefault="004817B2" w:rsidP="009F1453">
            <w:pPr>
              <w:rPr>
                <w:bCs/>
              </w:rPr>
            </w:pPr>
            <w:r w:rsidRPr="002025B8">
              <w:rPr>
                <w:bCs/>
              </w:rPr>
              <w:lastRenderedPageBreak/>
              <w:t>Übernahme der Regelung aus Art. 35</w:t>
            </w:r>
            <w:r w:rsidR="004C34FB" w:rsidRPr="002025B8">
              <w:rPr>
                <w:bCs/>
              </w:rPr>
              <w:t xml:space="preserve"> Abs. 4</w:t>
            </w:r>
            <w:r w:rsidRPr="002025B8">
              <w:rPr>
                <w:bCs/>
              </w:rPr>
              <w:t xml:space="preserve"> der Bayerischen Bauordnung</w:t>
            </w:r>
            <w:r w:rsidR="004C34FB" w:rsidRPr="002025B8">
              <w:rPr>
                <w:bCs/>
              </w:rPr>
              <w:t>.</w:t>
            </w:r>
          </w:p>
          <w:p w14:paraId="184B0B6C" w14:textId="625D483F" w:rsidR="004C34FB" w:rsidRPr="002025B8" w:rsidRDefault="004C34FB" w:rsidP="009F1453">
            <w:pPr>
              <w:rPr>
                <w:bCs/>
              </w:rPr>
            </w:pPr>
            <w:r w:rsidRPr="002025B8">
              <w:rPr>
                <w:bCs/>
              </w:rPr>
              <w:t>Alternativ</w:t>
            </w:r>
            <w:r w:rsidR="00916952" w:rsidRPr="002025B8">
              <w:rPr>
                <w:bCs/>
              </w:rPr>
              <w:t xml:space="preserve"> Ausweitung der Erleichterungen bei den Fenstermaßen auch auf den Neubau.</w:t>
            </w:r>
          </w:p>
        </w:tc>
      </w:tr>
      <w:tr w:rsidR="00EC3E19" w:rsidRPr="00022EA8" w14:paraId="3C2163F1" w14:textId="77777777" w:rsidTr="009F1453">
        <w:trPr>
          <w:tblHeader/>
        </w:trPr>
        <w:tc>
          <w:tcPr>
            <w:tcW w:w="675" w:type="dxa"/>
          </w:tcPr>
          <w:p w14:paraId="6F64BBF5" w14:textId="77777777" w:rsidR="00EC3E19" w:rsidRPr="00022EA8" w:rsidRDefault="00EC3E19" w:rsidP="009F1453">
            <w:pPr>
              <w:rPr>
                <w:b/>
              </w:rPr>
            </w:pPr>
          </w:p>
        </w:tc>
        <w:tc>
          <w:tcPr>
            <w:tcW w:w="1276" w:type="dxa"/>
          </w:tcPr>
          <w:p w14:paraId="068B8DC9" w14:textId="77777777" w:rsidR="00EC3E19" w:rsidRPr="00022EA8" w:rsidRDefault="00EC3E19" w:rsidP="009F1453">
            <w:pPr>
              <w:rPr>
                <w:b/>
              </w:rPr>
            </w:pPr>
          </w:p>
        </w:tc>
        <w:tc>
          <w:tcPr>
            <w:tcW w:w="4422" w:type="dxa"/>
          </w:tcPr>
          <w:p w14:paraId="32CAFB29" w14:textId="77777777" w:rsidR="00EC3E19" w:rsidRPr="00022EA8" w:rsidRDefault="00EC3E19" w:rsidP="009F1453">
            <w:pPr>
              <w:rPr>
                <w:b/>
              </w:rPr>
            </w:pPr>
          </w:p>
        </w:tc>
        <w:tc>
          <w:tcPr>
            <w:tcW w:w="2496" w:type="dxa"/>
          </w:tcPr>
          <w:p w14:paraId="30123501" w14:textId="77777777" w:rsidR="00EC3E19" w:rsidRPr="00022EA8" w:rsidRDefault="00EC3E19" w:rsidP="009F1453">
            <w:pPr>
              <w:rPr>
                <w:b/>
              </w:rPr>
            </w:pPr>
          </w:p>
        </w:tc>
        <w:tc>
          <w:tcPr>
            <w:tcW w:w="2825" w:type="dxa"/>
          </w:tcPr>
          <w:p w14:paraId="45882A6D" w14:textId="77777777" w:rsidR="00EC3E19" w:rsidRPr="00022EA8" w:rsidRDefault="00EC3E19" w:rsidP="009F1453">
            <w:pPr>
              <w:rPr>
                <w:b/>
              </w:rPr>
            </w:pPr>
          </w:p>
        </w:tc>
        <w:tc>
          <w:tcPr>
            <w:tcW w:w="2809" w:type="dxa"/>
          </w:tcPr>
          <w:p w14:paraId="13D060E1" w14:textId="77777777" w:rsidR="00EC3E19" w:rsidRPr="00022EA8" w:rsidRDefault="00EC3E19" w:rsidP="009F1453">
            <w:pPr>
              <w:rPr>
                <w:b/>
              </w:rPr>
            </w:pPr>
          </w:p>
        </w:tc>
      </w:tr>
    </w:tbl>
    <w:p w14:paraId="6803E3F9" w14:textId="77777777" w:rsidR="005768CE" w:rsidRDefault="005768CE"/>
    <w:sectPr w:rsidR="005768CE" w:rsidSect="00EC3E19">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DE64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73758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E19"/>
    <w:rsid w:val="00077238"/>
    <w:rsid w:val="000C2BB9"/>
    <w:rsid w:val="000E2C76"/>
    <w:rsid w:val="0013353A"/>
    <w:rsid w:val="0015529F"/>
    <w:rsid w:val="001703C4"/>
    <w:rsid w:val="001D314B"/>
    <w:rsid w:val="002025B8"/>
    <w:rsid w:val="002339AA"/>
    <w:rsid w:val="002A2052"/>
    <w:rsid w:val="002A540A"/>
    <w:rsid w:val="002B55EE"/>
    <w:rsid w:val="003E02FA"/>
    <w:rsid w:val="00423B6D"/>
    <w:rsid w:val="004817B2"/>
    <w:rsid w:val="004C34FB"/>
    <w:rsid w:val="004E194D"/>
    <w:rsid w:val="005768CE"/>
    <w:rsid w:val="00577985"/>
    <w:rsid w:val="005A7E9E"/>
    <w:rsid w:val="005B685B"/>
    <w:rsid w:val="006204FB"/>
    <w:rsid w:val="006617B3"/>
    <w:rsid w:val="00661FE4"/>
    <w:rsid w:val="00683D0A"/>
    <w:rsid w:val="00687A48"/>
    <w:rsid w:val="006C6A0E"/>
    <w:rsid w:val="006E2E07"/>
    <w:rsid w:val="00705A50"/>
    <w:rsid w:val="0076083B"/>
    <w:rsid w:val="0077582C"/>
    <w:rsid w:val="007A1310"/>
    <w:rsid w:val="008369EC"/>
    <w:rsid w:val="008467F4"/>
    <w:rsid w:val="00883FFF"/>
    <w:rsid w:val="00885AA3"/>
    <w:rsid w:val="00892D7D"/>
    <w:rsid w:val="008A6977"/>
    <w:rsid w:val="008F1DAF"/>
    <w:rsid w:val="00905BC4"/>
    <w:rsid w:val="00916952"/>
    <w:rsid w:val="009E5BEA"/>
    <w:rsid w:val="00A311BA"/>
    <w:rsid w:val="00A85748"/>
    <w:rsid w:val="00AF31BA"/>
    <w:rsid w:val="00B15471"/>
    <w:rsid w:val="00B35787"/>
    <w:rsid w:val="00B420EF"/>
    <w:rsid w:val="00B474F8"/>
    <w:rsid w:val="00B754EA"/>
    <w:rsid w:val="00B93DF4"/>
    <w:rsid w:val="00B97CCA"/>
    <w:rsid w:val="00BC2647"/>
    <w:rsid w:val="00BD683C"/>
    <w:rsid w:val="00BE617D"/>
    <w:rsid w:val="00C354CC"/>
    <w:rsid w:val="00C443E8"/>
    <w:rsid w:val="00C90F80"/>
    <w:rsid w:val="00CE46B5"/>
    <w:rsid w:val="00D57789"/>
    <w:rsid w:val="00E05EC4"/>
    <w:rsid w:val="00E25EE6"/>
    <w:rsid w:val="00E6351F"/>
    <w:rsid w:val="00E848CB"/>
    <w:rsid w:val="00EA7D9B"/>
    <w:rsid w:val="00EC3E19"/>
    <w:rsid w:val="00ED5387"/>
    <w:rsid w:val="00EF0F24"/>
    <w:rsid w:val="00EF3AA9"/>
    <w:rsid w:val="00F02706"/>
    <w:rsid w:val="00F1329B"/>
    <w:rsid w:val="00F6585E"/>
    <w:rsid w:val="00FC1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B0E96"/>
  <w15:docId w15:val="{0FDC400A-8165-4482-9437-7CC5CA3C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3E19"/>
    <w:pPr>
      <w:spacing w:after="200" w:line="276"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C3E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3E19"/>
    <w:pPr>
      <w:autoSpaceDE w:val="0"/>
      <w:autoSpaceDN w:val="0"/>
      <w:adjustRightInd w:val="0"/>
    </w:pPr>
    <w:rPr>
      <w:rFonts w:ascii="Calibri" w:eastAsiaTheme="minorHAnsi" w:hAnsi="Calibri" w:cs="Calibri"/>
      <w:color w:val="000000"/>
      <w:sz w:val="24"/>
      <w:szCs w:val="24"/>
      <w:lang w:eastAsia="en-US"/>
    </w:rPr>
  </w:style>
  <w:style w:type="paragraph" w:styleId="berarbeitung">
    <w:name w:val="Revision"/>
    <w:hidden/>
    <w:uiPriority w:val="99"/>
    <w:semiHidden/>
    <w:rsid w:val="00E05EC4"/>
    <w:rPr>
      <w:rFonts w:asciiTheme="minorHAnsi" w:eastAsiaTheme="minorHAnsi" w:hAnsiTheme="minorHAnsi" w:cstheme="minorBidi"/>
      <w:sz w:val="22"/>
      <w:szCs w:val="22"/>
      <w:lang w:eastAsia="en-US"/>
    </w:rPr>
  </w:style>
  <w:style w:type="character" w:styleId="Kommentarzeichen">
    <w:name w:val="annotation reference"/>
    <w:basedOn w:val="Absatz-Standardschriftart"/>
    <w:semiHidden/>
    <w:unhideWhenUsed/>
    <w:rsid w:val="00077238"/>
    <w:rPr>
      <w:sz w:val="16"/>
      <w:szCs w:val="16"/>
    </w:rPr>
  </w:style>
  <w:style w:type="paragraph" w:styleId="Kommentartext">
    <w:name w:val="annotation text"/>
    <w:basedOn w:val="Standard"/>
    <w:link w:val="KommentartextZchn"/>
    <w:unhideWhenUsed/>
    <w:rsid w:val="00077238"/>
    <w:pPr>
      <w:spacing w:line="240" w:lineRule="auto"/>
    </w:pPr>
    <w:rPr>
      <w:sz w:val="20"/>
      <w:szCs w:val="20"/>
    </w:rPr>
  </w:style>
  <w:style w:type="character" w:customStyle="1" w:styleId="KommentartextZchn">
    <w:name w:val="Kommentartext Zchn"/>
    <w:basedOn w:val="Absatz-Standardschriftart"/>
    <w:link w:val="Kommentartext"/>
    <w:rsid w:val="00077238"/>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077238"/>
    <w:rPr>
      <w:b/>
      <w:bCs/>
    </w:rPr>
  </w:style>
  <w:style w:type="character" w:customStyle="1" w:styleId="KommentarthemaZchn">
    <w:name w:val="Kommentarthema Zchn"/>
    <w:basedOn w:val="KommentartextZchn"/>
    <w:link w:val="Kommentarthema"/>
    <w:semiHidden/>
    <w:rsid w:val="00077238"/>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260D2353B56641A48BECB1F6C92483" ma:contentTypeVersion="13" ma:contentTypeDescription="Ein neues Dokument erstellen." ma:contentTypeScope="" ma:versionID="8344b666d8e781e6e24e3233dd751c49">
  <xsd:schema xmlns:xsd="http://www.w3.org/2001/XMLSchema" xmlns:xs="http://www.w3.org/2001/XMLSchema" xmlns:p="http://schemas.microsoft.com/office/2006/metadata/properties" xmlns:ns2="df5c991a-3fb6-410c-a470-43244b385710" xmlns:ns3="2c2773b3-92f5-4dac-b229-e91b38331c97" targetNamespace="http://schemas.microsoft.com/office/2006/metadata/properties" ma:root="true" ma:fieldsID="bf2fdb1c8269c66bc891a0b3951da295" ns2:_="" ns3:_="">
    <xsd:import namespace="df5c991a-3fb6-410c-a470-43244b385710"/>
    <xsd:import namespace="2c2773b3-92f5-4dac-b229-e91b38331c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5c991a-3fb6-410c-a470-43244b385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0e379a6-3dca-4ba3-9b3e-c1584818467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2773b3-92f5-4dac-b229-e91b38331c9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ff4717-56ff-4dce-9047-cc355e1f583e}" ma:internalName="TaxCatchAll" ma:showField="CatchAllData" ma:web="2c2773b3-92f5-4dac-b229-e91b38331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c2773b3-92f5-4dac-b229-e91b38331c97" xsi:nil="true"/>
    <lcf76f155ced4ddcb4097134ff3c332f xmlns="df5c991a-3fb6-410c-a470-43244b3857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4BC949-BE01-49A8-886E-E060CE124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5c991a-3fb6-410c-a470-43244b385710"/>
    <ds:schemaRef ds:uri="2c2773b3-92f5-4dac-b229-e91b38331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DEB2F-D439-4F18-A386-035A168DA8B3}">
  <ds:schemaRefs>
    <ds:schemaRef ds:uri="http://schemas.microsoft.com/office/2006/metadata/properties"/>
    <ds:schemaRef ds:uri="http://schemas.microsoft.com/office/infopath/2007/PartnerControls"/>
    <ds:schemaRef ds:uri="2c2773b3-92f5-4dac-b229-e91b38331c97"/>
    <ds:schemaRef ds:uri="df5c991a-3fb6-410c-a470-43244b385710"/>
  </ds:schemaRefs>
</ds:datastoreItem>
</file>

<file path=customXml/itemProps3.xml><?xml version="1.0" encoding="utf-8"?>
<ds:datastoreItem xmlns:ds="http://schemas.openxmlformats.org/officeDocument/2006/customXml" ds:itemID="{0D6FD8EF-B920-4AB6-A953-CC4CFB037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838</Words>
  <Characters>5281</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Land Hessen</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allgeier</dc:creator>
  <cp:lastModifiedBy>Gerwing, Stephan</cp:lastModifiedBy>
  <cp:revision>2</cp:revision>
  <dcterms:created xsi:type="dcterms:W3CDTF">2026-08-10T14:30:00Z</dcterms:created>
  <dcterms:modified xsi:type="dcterms:W3CDTF">2026-08-10T14:30:00Z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0x010100D8260D2353B56641A48BECB1F6C92483</vt:lpwstr>
  </property>
  <property fmtid="{D5CDD505-2E9C-101B-9397-08002B2CF9AE}" pid="3" name="MediaServiceImageTags">
    <vt:lpwstr/>
  </property>
</Properties>
</file>